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b41fe208024a30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32787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GRADSKI MUZEJ VIROVITICA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538.841,02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634.354,67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510.865,88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628.151,88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123,0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27.975,14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6.202,79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22,2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32.451,16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32.962,71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101,6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32.451,16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32.962,71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101,6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4.476,02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26.759,92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597,9</w:t>
            </w:r>
          </w:p>
        </w:tc>
      </w:tr>
    </w:tbl>
    <w:p>
      <w:pPr>
        <w:spacing w:before="0" w:after="0"/>
      </w:pPr>
    </w:p>
    <w:p>
      <w:r>
        <w:t xml:space="preserve">U izvještajnom razdoblju ostvaren je višak prihoda poslovanja u iznosu od 5.956,22 eura te manjak prihoda od nefinancijske imovine u iznosu 32.962,71 eura. Manjak je ostvaren zbog povećanih rashoda za nabavu nefinancijske imovine - automobila te muzejske građe.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iz inozemstva i od subjekata unutar općeg proračuna (šifre 631+632+633+634+635+636+637+638+639)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16.200,00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24.200,00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149,4</w:t>
            </w:r>
          </w:p>
        </w:tc>
      </w:tr>
    </w:tbl>
    <w:p>
      <w:pPr>
        <w:spacing w:before="0" w:after="0"/>
      </w:pPr>
    </w:p>
    <w:p>
      <w:r>
        <w:t xml:space="preserve">U izvještajnom razdoblju ostvaren je veći prihod nego prošle godine zbog većeg iznosa pomoći Ministarstva kulture i medija te Virovitičko-podravske županije.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pomoći proračunskim korisnicima iz proračuna koji im nije nadležan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14.700,00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21.200,00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144,2</w:t>
            </w:r>
          </w:p>
        </w:tc>
      </w:tr>
    </w:tbl>
    <w:p>
      <w:pPr>
        <w:spacing w:before="0" w:after="0"/>
      </w:pPr>
    </w:p>
    <w:p>
      <w:r>
        <w:t xml:space="preserve">Pomoći Ministarstva kulture i medija te Virovitičko-podravsko županije u ovom su izvještajnom razdoblju veće nego godinu ranije.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Kapitalne pomoći proračunskim korisnicima iz proračuna koji im nije nadležan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200</w:t>
            </w:r>
          </w:p>
        </w:tc>
      </w:tr>
    </w:tbl>
    <w:p>
      <w:pPr>
        <w:spacing w:before="0" w:after="0"/>
      </w:pPr>
    </w:p>
    <w:p>
      <w:r>
        <w:t xml:space="preserve">U ovom je izvještajnom razdoblju ostvarena kapitalna pomoć Ministarstva kulture i medija za nabavu informatičke opreme u dvostruko većem iznosu nego 2024.g.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proizvoda i robe te pruženih usluga, prihodi od donacija te povrati po protestiranim jamstvima (šifre 661+663)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6.912,47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8.128,31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117,6</w:t>
            </w:r>
          </w:p>
        </w:tc>
      </w:tr>
    </w:tbl>
    <w:p>
      <w:pPr>
        <w:spacing w:before="0" w:after="0"/>
      </w:pPr>
    </w:p>
    <w:p>
      <w:r>
        <w:t xml:space="preserve">Na ovoj stavci ostvareni su veći prihodi nego 2024. godine zbog većeg interesa posjetitelja u 2025. godini za muzejske izložbe i stalni postav.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Donacije od pravnih i fizičkih osoba izvan općeg proračuna te povrat donacija i kapitalnih pomoći po protestiranim jamstvima (šifre 6631 do 6634)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4.276,00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5.306,00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124,1</w:t>
            </w:r>
          </w:p>
        </w:tc>
      </w:tr>
    </w:tbl>
    <w:p>
      <w:pPr>
        <w:spacing w:before="0" w:after="0"/>
      </w:pPr>
    </w:p>
    <w:p>
      <w:r>
        <w:t xml:space="preserve">U ovom je izvještajnom razdoblju ostvareno više donacija muzejske građe od fizičkih osoba nego godinu ranije.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Tekuće donacije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200</w:t>
            </w:r>
          </w:p>
        </w:tc>
      </w:tr>
    </w:tbl>
    <w:p>
      <w:pPr>
        <w:spacing w:before="0" w:after="0"/>
      </w:pPr>
    </w:p>
    <w:p>
      <w:r>
        <w:t xml:space="preserve">Ostvareno je dvostruko više tekućih donacija fizičkih osoba nego u istom izvještajnom razdoblju 2024.g. zbog većeg interesa fizičkih osoba za financiranje rashoda poslovanja Muzeja.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i od HZZO-a na temelju ugovornih obveza (šifre 671+673)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494.070,17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581.206,54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117,6</w:t>
            </w:r>
          </w:p>
        </w:tc>
      </w:tr>
    </w:tbl>
    <w:p>
      <w:pPr>
        <w:spacing w:before="0" w:after="0"/>
      </w:pPr>
    </w:p>
    <w:p>
      <w:r>
        <w:t xml:space="preserve">Prihodi iz nadležnog proračuna u ovom proračunskom razdoblju veći su nego godinu ranije zbog povećanja rashoda poslovanja.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341.228,68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405.591,40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118,9</w:t>
            </w:r>
          </w:p>
        </w:tc>
      </w:tr>
    </w:tbl>
    <w:p>
      <w:pPr>
        <w:spacing w:before="0" w:after="0"/>
      </w:pPr>
    </w:p>
    <w:p>
      <w:r>
        <w:t xml:space="preserve">Rashodi za zaposlene povećani su zbog zapošljavanja na puno radno vrijeme djelatnice (knjižničarke)  koja je u istom izvještajnom razdoblju 2024.g. bila zaposlena na pola pola radnog vremena.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Plaće (bruto) (šifre 3111 do 3114)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259.507,10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315.297,95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121,5</w:t>
            </w:r>
          </w:p>
        </w:tc>
      </w:tr>
    </w:tbl>
    <w:p>
      <w:pPr>
        <w:spacing w:before="0" w:after="0"/>
      </w:pPr>
    </w:p>
    <w:p>
      <w:r>
        <w:t xml:space="preserve">Rashodi za plaće povećani su zbog zapošljavanja na puno radno vrijeme djelatnice (knjižničarke)  koja je u istom izvještajnom razdoblju 2024.g. bila zaposlena na pola pola radnog vremena.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materijal i energiju (šifre 3221 do 3227)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57.602,19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90.080,73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156,4</w:t>
            </w:r>
          </w:p>
        </w:tc>
      </w:tr>
    </w:tbl>
    <w:p>
      <w:pPr>
        <w:spacing w:before="0" w:after="0"/>
      </w:pPr>
    </w:p>
    <w:p>
      <w:r>
        <w:t xml:space="preserve">Rashodi za materijal i energiju povećani su zbog većih troškova električne energije. Troškovi su povećani nakon što je izvršen servis na sustavu za grijanje i hlađenje.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Energija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46.350,95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82.211,86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177,4</w:t>
            </w:r>
          </w:p>
        </w:tc>
      </w:tr>
    </w:tbl>
    <w:p>
      <w:pPr>
        <w:spacing w:before="0" w:after="0"/>
      </w:pPr>
    </w:p>
    <w:p>
      <w:r>
        <w:t xml:space="preserve">Rashodi za energiju veći su u odnosu na isto izvještajno razdoblje 2024.g. zbog većih troškova električne energije. Troškovi su povećani nakon što je izvršen servis na sustavu za grijanje i hlađenje.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Sitni inventar i autogume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1.294,41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741,35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57,3</w:t>
            </w:r>
          </w:p>
        </w:tc>
      </w:tr>
    </w:tbl>
    <w:p>
      <w:pPr>
        <w:spacing w:before="0" w:after="0"/>
      </w:pPr>
    </w:p>
    <w:p>
      <w:r>
        <w:t xml:space="preserve">Rashodi na ovoj stavci manji su zbog smanjenja potrebe za nabavom tih stavki u odnosu na prethodnu godinu.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telefona, interneta, pošte i prijevoza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4.366,88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6.905,18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158,1</w:t>
            </w:r>
          </w:p>
        </w:tc>
      </w:tr>
    </w:tbl>
    <w:p>
      <w:pPr>
        <w:spacing w:before="0" w:after="0"/>
      </w:pPr>
    </w:p>
    <w:p>
      <w:r>
        <w:t xml:space="preserve">Rashodi na ovoj stavci povećani su zbog povećanja cijene telekomunikacijskih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Usluge promidžbe i informiranja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1.518,16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3.290,00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216,7</w:t>
            </w:r>
          </w:p>
        </w:tc>
      </w:tr>
    </w:tbl>
    <w:p>
      <w:pPr>
        <w:spacing w:before="0" w:after="0"/>
      </w:pPr>
    </w:p>
    <w:p>
      <w:r>
        <w:t xml:space="preserve">Povećanje rashoda na ovoj stavci ostvareno je zbog povećanja cijene usluge promidžbe i informiranja.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Računalne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13.196,16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5.277,24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40,0</w:t>
            </w:r>
          </w:p>
        </w:tc>
      </w:tr>
    </w:tbl>
    <w:p>
      <w:pPr>
        <w:spacing w:before="0" w:after="0"/>
      </w:pPr>
    </w:p>
    <w:p>
      <w:r>
        <w:t xml:space="preserve">Rashodi na ovoj stavci su manji u ovom izvještajnom razdoblju jer su u istom izvještajnom razdoblju pogrešno knjiženji. Održavanje društvenih mreža pogrešno je u 2024.g. knjiženo na ovu stavku.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20.283,09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28.628,98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141,1</w:t>
            </w:r>
          </w:p>
        </w:tc>
      </w:tr>
    </w:tbl>
    <w:p>
      <w:pPr>
        <w:spacing w:before="0" w:after="0"/>
      </w:pPr>
    </w:p>
    <w:p>
      <w:r>
        <w:t xml:space="preserve">Rashodi su povećani zbog povećanja cijena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(šifre 3291 do 3299)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8.246,12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30.232,10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366,6</w:t>
            </w:r>
          </w:p>
        </w:tc>
      </w:tr>
    </w:tbl>
    <w:p>
      <w:pPr>
        <w:spacing w:before="0" w:after="0"/>
      </w:pPr>
    </w:p>
    <w:p>
      <w:r>
        <w:t xml:space="preserve">Rashodi na ovoj stavci povećani su zbog veće potrebe za osiguranjem muzejske građe i izložbi te ostalih troškova organiziranja izložbi i muzejskih manifestacija.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3.219,63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13.868,29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430,7</w:t>
            </w:r>
          </w:p>
        </w:tc>
      </w:tr>
    </w:tbl>
    <w:p>
      <w:pPr>
        <w:spacing w:before="0" w:after="0"/>
      </w:pPr>
    </w:p>
    <w:p>
      <w:r>
        <w:t xml:space="preserve">Povećani troškovi organiziranja izložbi i muzejskih manifestacija.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Postrojenja i oprema (šifre 4221 do 4228)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28.678,52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3.782,80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13,2</w:t>
            </w:r>
          </w:p>
        </w:tc>
      </w:tr>
    </w:tbl>
    <w:p>
      <w:pPr>
        <w:spacing w:before="0" w:after="0"/>
      </w:pPr>
    </w:p>
    <w:p>
      <w:r>
        <w:t xml:space="preserve">Rashodi na ovoj stavci manji su nego u istom izvještajnom razdoblju prethodne godine jer je u 2024.g. nabavljana oprema za grijanje, a u 2025. nije bilo potrebe za veća ulaganja u postrojenje i opremu.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Uredska oprema i namještaj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8.016,00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37,4</w:t>
            </w:r>
          </w:p>
        </w:tc>
      </w:tr>
    </w:tbl>
    <w:p>
      <w:pPr>
        <w:spacing w:before="0" w:after="0"/>
      </w:pPr>
    </w:p>
    <w:p>
      <w:r>
        <w:t xml:space="preserve">Za razliku od 2024.g. u ovom izvještajnom razdoblju nije bilo potrebe za nabavom uredskog namještaja.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Uređaji, strojevi i oprema za ostale namjene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20.662,52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782,80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3,8</w:t>
            </w:r>
          </w:p>
        </w:tc>
      </w:tr>
    </w:tbl>
    <w:p>
      <w:pPr>
        <w:spacing w:before="0" w:after="0"/>
      </w:pPr>
    </w:p>
    <w:p>
      <w:r>
        <w:t xml:space="preserve">Rashodi na ovoj stavci su manji  jer je u 2024.g. nabavljana oprema za grijanje, a u 2025. nije bilo potrebe za veća ulaganja u postrojenje i opremu.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Pohranjene knjige, umjetnička djela i slične vrijednosti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3.772,64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7.479,91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198,3</w:t>
            </w:r>
          </w:p>
        </w:tc>
      </w:tr>
    </w:tbl>
    <w:p>
      <w:pPr>
        <w:spacing w:before="0" w:after="0"/>
      </w:pPr>
    </w:p>
    <w:p>
      <w:r>
        <w:t xml:space="preserve">Rashodi za nabavu muzejske građe veći su nego godinu ranije.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UKUPAN MANJAK PRIHODA (šifre Y034-X067)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4.476,02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26.759,92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597,9</w:t>
            </w:r>
          </w:p>
        </w:tc>
      </w:tr>
    </w:tbl>
    <w:p>
      <w:pPr>
        <w:spacing w:before="0" w:after="0"/>
      </w:pPr>
    </w:p>
    <w:p>
      <w:r>
        <w:t xml:space="preserve">Manjak prihoda ostvaren je u većem iznosu nego u 2024.g. zbog nabnave nefinancijske imovine.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Ugovori o djelu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152,12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7.207,24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4737,9</w:t>
            </w:r>
          </w:p>
        </w:tc>
      </w:tr>
    </w:tbl>
    <w:p>
      <w:pPr>
        <w:spacing w:before="0" w:after="0"/>
      </w:pPr>
    </w:p>
    <w:p>
      <w:r>
        <w:t xml:space="preserve">Rashodi na ovoj stavci u 2025.g. veći su u odnosu na prethodnu godinu zbog veće potrebe za ugovorima o djelu na projektima koje je Muzej provodio u 2025.g. (Rječnik mikeškog govora i sl.)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Financijska imovina (šifre 11+12+13+14+15+16+17+19)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5.392,36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16.150,15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299,5</w:t>
            </w:r>
          </w:p>
        </w:tc>
      </w:tr>
    </w:tbl>
    <w:p>
      <w:pPr>
        <w:spacing w:before="0" w:after="0"/>
      </w:pPr>
    </w:p>
    <w:p>
      <w:r>
        <w:t xml:space="preserve">Finacijska je imovina u ovom izvještajnom razdoblju veća nego u istom izvještajnom razdoblju 2024. godine jer se dio odnosi na obveze nabave nefinancijske imovine (automobila) iz prosinca 2025.g., a koji su podmireni u siječnju 2026.g. te na nedospjele prihode iz prosinca 2025.g.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Sve dospjele obveze na kraju izvještajnog razdoblja su podmirene.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f58dab15494742bc" /></Relationships>
</file>