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95b13a263e1747ce"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32787</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GRADSKI MUZEJ VIROVITICA</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21</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VI 2026.</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317.732,14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366.704,77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115,4</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295.646,99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312.277,19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105,6</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22.085,15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54.427,58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246,4</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132,81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1.879,15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1414,9</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132,81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1.879,15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1414,9</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VIŠAK/MANJAK PRIMITAKA OD FINANCIJSKE IMOVINE I ZADUŽIVANJA (šifre 8-5,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X003, 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I PRIMITAKA (šifre X678-Y345)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21.952,34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52.548,43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239,4</w:t>
            </w:r>
          </w:p>
        </w:tc>
      </w:tr>
    </w:tbl>
    <w:p>
      <w:pPr>
        <w:spacing w:before="0" w:after="0"/>
      </w:pPr>
    </w:p>
    <w:p>
      <w:r>
        <w:t xml:space="preserve">U izvještajnom razdoblju od 01.01.2026. do 30.06.2026. Gradski muzej Virovitica ostvario je ukupne prihode poslovanja u iznosu od 366.704,77 eura. Prihodi su ostvareni od nadležnog proračuna Grada Virovitice, tekućih pomoći Ministarstva kulture i medije za realizaciju projekata Muzeja te Virovitičko-podravske županije za financiranje kulturnih projekata. Ostvareni su i prihodi po posebnim propisima (17.865,33 eura) koje je Muzej ostvario uslugama arheološkog nadzora te ostalim muzejskim uslugama.</w:t>
      </w:r>
    </w:p>
    <w:p>
      <w:r>
        <w:t xml:space="preserve">Ukupni rashodi poslovanja iznose 312.277,19 eura i namjenski su utrošeni za plaće zaposlenika te ostale materijalna prava koja im pripadaju, na materijalne i financijske rashode poslovanja Muzeja te nabavu nefinancijeske imovine.</w:t>
      </w:r>
    </w:p>
    <w:p>
      <w:r>
        <w:t xml:space="preserve">Ostvaren je višak poslovanja od 54.427,58 eura te manjak prihoda od nefinancijske imovine u iznosu 1.879,15 eura. Ukupan višak prihoda i primitika iznosi 52.548,43 eura što je metodološki višak koji će biti  utrošen za rashode poslovanja do kraja godine.</w:t>
      </w:r>
    </w:p>
    <w:p>
      <w:r>
        <w:t xml:space="preserve"> </w:t>
      </w:r>
    </w:p>
    <w:p>
      <w:r>
        <w:t xml:space="preserve"> </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317.732,14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366.704,77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115,4</w:t>
            </w:r>
          </w:p>
        </w:tc>
      </w:tr>
    </w:tbl>
    <w:p>
      <w:pPr>
        <w:spacing w:before="0" w:after="0"/>
      </w:pPr>
    </w:p>
    <w:p>
      <w:r>
        <w:t xml:space="preserve">Prihodi poslovanja u ovom izvještajnom razdoblju iznose 366.704,77 eura</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iz inozemstva i od subjekata unutar općeg proračuna (šifre 631+632+633+634+635+636+637+638+639)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17.400,00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18.200,00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104,6</w:t>
            </w:r>
          </w:p>
        </w:tc>
      </w:tr>
    </w:tbl>
    <w:p>
      <w:pPr>
        <w:spacing w:before="0" w:after="0"/>
      </w:pPr>
    </w:p>
    <w:p>
      <w:r>
        <w:t xml:space="preserve">Prihod od 18.200,00 eura ostvaren je od tekuće pomoći Ministarstva kulture i medijima kojom će se financirati godišnji projekti Muzeja. Uplaćeno je 80% odobrenih sredstava, od toga 1.600,00 eura za edukativne programe, 1.600,00 eura za preventivnu zaštitu muzejske građe i dokumentacije, 2.400.00 eura za tisak Rječnika virovitičkog mikeškog govora te 10.400,00 eura za cjelogodišnji izložbeni program.</w:t>
      </w:r>
    </w:p>
    <w:p>
      <w:r>
        <w:t xml:space="preserve">Na ovom je računu ostvaren i prihod od 2.200,00 eura pomoći Virovitičko-podravske županije za muizejski projekt razvoja kulture.</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upravnih i administrativnih pristojbi, pristojbi po posebnim propisima i naknada (šifre 651+652+653+654)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10.814,05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17.865,33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165,2</w:t>
            </w:r>
          </w:p>
        </w:tc>
      </w:tr>
    </w:tbl>
    <w:p>
      <w:pPr>
        <w:spacing w:before="0" w:after="0"/>
      </w:pPr>
    </w:p>
    <w:p>
      <w:r>
        <w:t xml:space="preserve">Prihod u iznosu od 17.865,33 eura ostvaren je od usluga arheološkog nadzora te ostalih muzejskih usluga (ulaznice, stručna vodstva, postavljanje izložbi). Prihod je veći od prošlogodišnjeg zbog više izvršenih usluga arheološkog nadzora.</w:t>
      </w:r>
    </w:p>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proizvoda i robe te pruženih usluga, prihodi od donacija te povrati po protestiranim jamstvima (šifre 661+663)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1.129,94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1.016,72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90,0</w:t>
            </w:r>
          </w:p>
        </w:tc>
      </w:tr>
    </w:tbl>
    <w:p>
      <w:pPr>
        <w:spacing w:before="0" w:after="0"/>
      </w:pPr>
    </w:p>
    <w:p>
      <w:r>
        <w:t xml:space="preserve">Prihod je ostzvaren od prodaje suvenira te režijskih troškova Turističke zajednice Grada Virovitice.</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iz nadležnog proračuna i od HZZO-a na temelju ugovornih obveza (šifre 671+673)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288.388,15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329.622,72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114,3</w:t>
            </w:r>
          </w:p>
        </w:tc>
      </w:tr>
    </w:tbl>
    <w:p>
      <w:pPr>
        <w:spacing w:before="0" w:after="0"/>
      </w:pPr>
    </w:p>
    <w:p>
      <w:r>
        <w:t xml:space="preserve">Prihod je ostvaren iz nadležnog proračuna Grada Virovitice za troškove poslovanja Muzeja: plaće i materijalna davanja za zaposlene, službena putovanja, materijalni rashodi koji se odnose na održavanje Muzeja, električna energija, benzin, uredski materijal, usluge promidžbe i informiranja, računalne usluge, usluge telefona, interneta, pošte i prijevoza itd. Iz nadležnog proračuna ostvaren je i prihod za nabavu nefinancijske imovine (automobil) u iznosu od 7.000,45 eura.</w:t>
      </w:r>
    </w:p>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zaposlene (šifre 311+312+313)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200.371,81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224.526,54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112,1</w:t>
            </w:r>
          </w:p>
        </w:tc>
      </w:tr>
    </w:tbl>
    <w:p>
      <w:pPr>
        <w:spacing w:before="0" w:after="0"/>
      </w:pPr>
    </w:p>
    <w:p>
      <w:r>
        <w:t xml:space="preserve">Rashodi za zaposlene odnose se na plaće zaposlenika Gradskog muzeja Virovitica te ostale rashode za zaposlene - jubilarne nagrade, regres, Uskrsnice.</w:t>
      </w:r>
    </w:p>
    <w:p>
      <w:r>
        <w:t xml:space="preserve">Rashdi su veći nego u istom izvještajnom razdoblju zbog povećanja osnovice plaće te više jubilarnih nagrada.</w:t>
      </w:r>
    </w:p>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Plaće (bruto) (šifre 3111 do 3114)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155.577,37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172.876,71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111,1</w:t>
            </w:r>
          </w:p>
        </w:tc>
      </w:tr>
    </w:tbl>
    <w:p>
      <w:pPr>
        <w:spacing w:before="0" w:after="0"/>
      </w:pPr>
    </w:p>
    <w:p>
      <w:r>
        <w:t xml:space="preserve">Rashod za plaće veći je zbog povećanja osnovice za izračun plaće koja je, prema Kolektivnom ugovoru za zaposlenike u ustanovama kulture grada Virovitice, od 01.01.2026. godine uvećana za 5%.</w:t>
      </w:r>
    </w:p>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rashodi za zaposlene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19.080,00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23.140,00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121,3</w:t>
            </w:r>
          </w:p>
        </w:tc>
      </w:tr>
    </w:tbl>
    <w:p>
      <w:pPr>
        <w:spacing w:before="0" w:after="0"/>
      </w:pPr>
    </w:p>
    <w:p>
      <w:r>
        <w:t xml:space="preserve">Rashodi se odnose na isplatu regresa, Uskrsnice, jubilarnih nagrada i ostalih rashoda za zaposlene.</w:t>
      </w:r>
    </w:p>
    <w:p>
      <w:r>
        <w:t xml:space="preserve">Iznos je veći od prošlogodišnjeg jer je u ovom izvještajnom razdoblju utrošeno 4.100,00 eura troškove sudjelovanja zaposlenika na međunarodnom muzejskom skupu.</w:t>
      </w:r>
    </w:p>
    <w:p/>
    <w:p>
      <w:pPr>
        <w:jc w:val="center"/>
        <w:pStyle w:val="Normal"/>
        <w:spacing w:line="240" w:lineRule="auto"/>
        <w:keepNext/>
      </w:pPr>
      <w:r>
        <w:rPr>
          <w:sz w:val="28"/>
          <w:rFonts w:ascii="Times New Roman" w:hAnsi="Times New Roman"/>
        </w:rPr>
        <w:t xml:space="preserve">Bilješka 10.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Doprinosi na plaće (šifre 3131 do 3133)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25.714,44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28.509,83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110,9</w:t>
            </w:r>
          </w:p>
        </w:tc>
      </w:tr>
    </w:tbl>
    <w:p>
      <w:pPr>
        <w:spacing w:before="0" w:after="0"/>
      </w:pPr>
    </w:p>
    <w:p>
      <w:r>
        <w:t xml:space="preserve">Iznos od 28.509,83 eura utrošen je za doprinose na plaće zaposlenika. Veći je od prošlogodišnjeg zbog povećanja osnovice plaće.</w:t>
      </w:r>
    </w:p>
    <w:p/>
    <w:p>
      <w:pPr>
        <w:jc w:val="center"/>
        <w:pStyle w:val="Normal"/>
        <w:spacing w:line="240" w:lineRule="auto"/>
        <w:keepNext/>
      </w:pPr>
      <w:r>
        <w:rPr>
          <w:sz w:val="28"/>
          <w:rFonts w:ascii="Times New Roman" w:hAnsi="Times New Roman"/>
        </w:rPr>
        <w:t xml:space="preserve">Bilješka 11.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Materijalni rashodi (šifre 321+322+323+324+325+329)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95.265,54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87.737,85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92,1</w:t>
            </w:r>
          </w:p>
        </w:tc>
      </w:tr>
    </w:tbl>
    <w:p>
      <w:pPr>
        <w:spacing w:before="0" w:after="0"/>
      </w:pPr>
    </w:p>
    <w:p>
      <w:r>
        <w:t xml:space="preserve">Iznos od 87.737,85 eura utrošen je na troškove poslovanja i održavanja Muzeja.</w:t>
      </w:r>
    </w:p>
    <w:p/>
    <w:p>
      <w:pPr>
        <w:jc w:val="center"/>
        <w:pStyle w:val="Normal"/>
        <w:spacing w:line="240" w:lineRule="auto"/>
        <w:keepNext/>
      </w:pPr>
      <w:r>
        <w:rPr>
          <w:sz w:val="28"/>
          <w:rFonts w:ascii="Times New Roman" w:hAnsi="Times New Roman"/>
        </w:rPr>
        <w:t xml:space="preserve">Bilješka 12.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Službena putovanja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2.228,14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2.660,59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119,4</w:t>
            </w:r>
          </w:p>
        </w:tc>
      </w:tr>
    </w:tbl>
    <w:p>
      <w:pPr>
        <w:spacing w:before="0" w:after="0"/>
      </w:pPr>
    </w:p>
    <w:p>
      <w:r>
        <w:t xml:space="preserve">Troškovi se odnose na službena putovanja zaposlenika - dnevnice i troškove prijevoza, koji su u ovom izvještajnom razdoblju veći od prošlogodišnjih zbog potrebe za više službenih putovanja (dovozi i odvozi izložbi, sudjelovanje na stručnim skupovima).</w:t>
      </w:r>
    </w:p>
    <w:p/>
    <w:p>
      <w:pPr>
        <w:jc w:val="center"/>
        <w:pStyle w:val="Normal"/>
        <w:spacing w:line="240" w:lineRule="auto"/>
        <w:keepNext/>
      </w:pPr>
      <w:r>
        <w:rPr>
          <w:sz w:val="28"/>
          <w:rFonts w:ascii="Times New Roman" w:hAnsi="Times New Roman"/>
        </w:rPr>
        <w:t xml:space="preserve">Bilješka 13.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Stručno usavršavanje zaposlenika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357,92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490,00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136,9</w:t>
            </w:r>
          </w:p>
        </w:tc>
      </w:tr>
    </w:tbl>
    <w:p>
      <w:pPr>
        <w:spacing w:before="0" w:after="0"/>
      </w:pPr>
    </w:p>
    <w:p>
      <w:r>
        <w:t xml:space="preserve">Troškovi se odnose na kotizacije za stručne seminare na kojima su sudjelovali zaposlenici Muzeja.</w:t>
      </w:r>
    </w:p>
    <w:p>
      <w:r>
        <w:t xml:space="preserve">Povećanje u odnosu na prošlu godinu ostvareno je zbog većeg iznosa kotizacije.</w:t>
      </w:r>
    </w:p>
    <w:p/>
    <w:p>
      <w:pPr>
        <w:jc w:val="center"/>
        <w:pStyle w:val="Normal"/>
        <w:spacing w:line="240" w:lineRule="auto"/>
        <w:keepNext/>
      </w:pPr>
      <w:r>
        <w:rPr>
          <w:sz w:val="28"/>
          <w:rFonts w:ascii="Times New Roman" w:hAnsi="Times New Roman"/>
        </w:rPr>
        <w:t xml:space="preserve">Bilješka 14.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Uredski materijal i ostali materijalni rashodi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3.182,52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2.188,81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68,8</w:t>
            </w:r>
          </w:p>
        </w:tc>
      </w:tr>
    </w:tbl>
    <w:p>
      <w:pPr>
        <w:spacing w:before="0" w:after="0"/>
      </w:pPr>
    </w:p>
    <w:p>
      <w:r>
        <w:t xml:space="preserve">Sredstva s ovog računa utrošena su za potreban uredski materijal. Iznos je manji u odnosu na isto izvještajno razdoblje prošle godine zbog drugačije organizacije (termina) izložbi i ostalih muzejskih aktivnosti (edukativnih radionica i sl.). </w:t>
      </w:r>
    </w:p>
    <w:p/>
    <w:p>
      <w:pPr>
        <w:jc w:val="center"/>
        <w:pStyle w:val="Normal"/>
        <w:spacing w:line="240" w:lineRule="auto"/>
        <w:keepNext/>
      </w:pPr>
      <w:r>
        <w:rPr>
          <w:sz w:val="28"/>
          <w:rFonts w:ascii="Times New Roman" w:hAnsi="Times New Roman"/>
        </w:rPr>
        <w:t xml:space="preserve">Bilješka 15.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Energija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40.392,84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31.032,83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76,8</w:t>
            </w:r>
          </w:p>
        </w:tc>
      </w:tr>
    </w:tbl>
    <w:p>
      <w:pPr>
        <w:spacing w:before="0" w:after="0"/>
      </w:pPr>
    </w:p>
    <w:p>
      <w:r>
        <w:t xml:space="preserve">Trošak energije u ovom izvještajnom razdoblju manji je od prošlogodišnjeg zbog nešto manje potrošnje električne energije te različite dinamike plaćanja računa za električnu energiju (prošle je godine do 30.06. plaćen jedan račun više nego ove godine).</w:t>
      </w:r>
    </w:p>
    <w:p/>
    <w:p>
      <w:pPr>
        <w:jc w:val="center"/>
        <w:pStyle w:val="Normal"/>
        <w:spacing w:line="240" w:lineRule="auto"/>
        <w:keepNext/>
      </w:pPr>
      <w:r>
        <w:rPr>
          <w:sz w:val="28"/>
          <w:rFonts w:ascii="Times New Roman" w:hAnsi="Times New Roman"/>
        </w:rPr>
        <w:t xml:space="preserve">Bilješka 16.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usluge (šifre 3231 do 3239)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27.378,05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24.863,13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90,8</w:t>
            </w:r>
          </w:p>
        </w:tc>
      </w:tr>
    </w:tbl>
    <w:p>
      <w:pPr>
        <w:spacing w:before="0" w:after="0"/>
      </w:pPr>
    </w:p>
    <w:p>
      <w:r>
        <w:t xml:space="preserve">Troškovi usluga tekućeg održavanja, telefonskih i poštanskih usluga, komunalnih usluga te usluga promidžbe i informiranja. </w:t>
      </w:r>
    </w:p>
    <w:p/>
    <w:p>
      <w:pPr>
        <w:jc w:val="center"/>
        <w:pStyle w:val="Normal"/>
        <w:spacing w:line="240" w:lineRule="auto"/>
        <w:keepNext/>
      </w:pPr>
      <w:r>
        <w:rPr>
          <w:sz w:val="28"/>
          <w:rFonts w:ascii="Times New Roman" w:hAnsi="Times New Roman"/>
        </w:rPr>
        <w:t xml:space="preserve">Bilješka 17.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Usluge promidžbe i informiranja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560,00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482,1</w:t>
            </w:r>
          </w:p>
        </w:tc>
      </w:tr>
    </w:tbl>
    <w:p>
      <w:pPr>
        <w:spacing w:before="0" w:after="0"/>
      </w:pPr>
    </w:p>
    <w:p>
      <w:r>
        <w:t xml:space="preserve">Troškovi za usluge promidžbe i informiranja iznose 2.700,00 eura. Povećanje u odnosu na prošlu godinu odnosi se na povećanje ugovorne obveze za usluge promidžbe i informiranja (Informativni centar Virovitica).</w:t>
      </w:r>
    </w:p>
    <w:p/>
    <w:p>
      <w:pPr>
        <w:jc w:val="center"/>
        <w:pStyle w:val="Normal"/>
        <w:spacing w:line="240" w:lineRule="auto"/>
        <w:keepNext/>
      </w:pPr>
      <w:r>
        <w:rPr>
          <w:sz w:val="28"/>
          <w:rFonts w:ascii="Times New Roman" w:hAnsi="Times New Roman"/>
        </w:rPr>
        <w:t xml:space="preserve">Bilješka 18.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Zakupnine i najamnine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1.312,32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1.093,75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83,3</w:t>
            </w:r>
          </w:p>
        </w:tc>
      </w:tr>
    </w:tbl>
    <w:p>
      <w:pPr>
        <w:spacing w:before="0" w:after="0"/>
      </w:pPr>
    </w:p>
    <w:p>
      <w:r>
        <w:t xml:space="preserve">Trošak se odnosi na licencu za korištenje baze podataka muzejske djelatnosti. Iznos je manji od prošlogodišnjega jer je lani u istom izvještajnom razdoblju plaćen jedan račun više.</w:t>
      </w:r>
    </w:p>
    <w:p/>
    <w:p>
      <w:pPr>
        <w:jc w:val="center"/>
        <w:pStyle w:val="Normal"/>
        <w:spacing w:line="240" w:lineRule="auto"/>
        <w:keepNext/>
      </w:pPr>
      <w:r>
        <w:rPr>
          <w:sz w:val="28"/>
          <w:rFonts w:ascii="Times New Roman" w:hAnsi="Times New Roman"/>
        </w:rPr>
        <w:t xml:space="preserve">Bilješka 19.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Intelektualne i osobne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6.285,15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U ovom izvještajnom razdoblju, zbog rasporeda održavanja izložbi i edukativnih radionica, nije bilo potrebe za sklapanjem autorskih ugovora i ugovora o djelu. Vanjskim suradnicima plaćan je samo trošak putovanja.</w:t>
      </w:r>
    </w:p>
    <w:p/>
    <w:p>
      <w:pPr>
        <w:jc w:val="center"/>
        <w:pStyle w:val="Normal"/>
        <w:spacing w:line="240" w:lineRule="auto"/>
        <w:keepNext/>
      </w:pPr>
      <w:r>
        <w:rPr>
          <w:sz w:val="28"/>
          <w:rFonts w:ascii="Times New Roman" w:hAnsi="Times New Roman"/>
        </w:rPr>
        <w:t xml:space="preserve">Bilješka 20.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Računalne usluge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2.689,61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3.428,45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127,5</w:t>
            </w:r>
          </w:p>
        </w:tc>
      </w:tr>
    </w:tbl>
    <w:p>
      <w:pPr>
        <w:spacing w:before="0" w:after="0"/>
      </w:pPr>
    </w:p>
    <w:p>
      <w:r>
        <w:t xml:space="preserve">Trošak računalnih usluga u ovom je razdoblju veći nego lani zbog povećanja ugovorne obveze za usluge ažuriranja računalnih baza (Libusoft Cicom).</w:t>
      </w:r>
    </w:p>
    <w:p/>
    <w:p>
      <w:pPr>
        <w:jc w:val="center"/>
        <w:pStyle w:val="Normal"/>
        <w:spacing w:line="240" w:lineRule="auto"/>
        <w:keepNext/>
      </w:pPr>
      <w:r>
        <w:rPr>
          <w:sz w:val="28"/>
          <w:rFonts w:ascii="Times New Roman" w:hAnsi="Times New Roman"/>
        </w:rPr>
        <w:t xml:space="preserve">Bilješka 21.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Naknade troškova osobama izvan radnog odnosa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725,71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1.182,45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162,9</w:t>
            </w:r>
          </w:p>
        </w:tc>
      </w:tr>
    </w:tbl>
    <w:p>
      <w:pPr>
        <w:spacing w:before="0" w:after="0"/>
      </w:pPr>
    </w:p>
    <w:p>
      <w:r>
        <w:t xml:space="preserve">Iznos od 1.182,45 eura je utrošen na troškove službenog puta osobama izvan radnog odnosa. Povećanje u odnosu na prošlu godinu ostvareno je zbog veće potrebe za angažmanom vanjskih suradnika.</w:t>
      </w:r>
    </w:p>
    <w:p/>
    <w:p>
      <w:pPr>
        <w:jc w:val="center"/>
        <w:pStyle w:val="Normal"/>
        <w:spacing w:line="240" w:lineRule="auto"/>
        <w:keepNext/>
      </w:pPr>
      <w:r>
        <w:rPr>
          <w:sz w:val="28"/>
          <w:rFonts w:ascii="Times New Roman" w:hAnsi="Times New Roman"/>
        </w:rPr>
        <w:t xml:space="preserve">Bilješka 22.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nespomenuti rashodi poslovanja (šifre 3291 do 3299)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15.595,16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20.516,05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131,6</w:t>
            </w:r>
          </w:p>
        </w:tc>
      </w:tr>
    </w:tbl>
    <w:p>
      <w:pPr>
        <w:spacing w:before="0" w:after="0"/>
      </w:pPr>
    </w:p>
    <w:p>
      <w:r>
        <w:t xml:space="preserve">Trošak je veći nego u istom izvještajnom razdoblju prošle godine zbog većih troškova za premije osiguranja.</w:t>
      </w:r>
    </w:p>
    <w:p/>
    <w:p>
      <w:pPr>
        <w:jc w:val="center"/>
        <w:pStyle w:val="Normal"/>
        <w:spacing w:line="240" w:lineRule="auto"/>
        <w:keepNext/>
      </w:pPr>
      <w:r>
        <w:rPr>
          <w:sz w:val="28"/>
          <w:rFonts w:ascii="Times New Roman" w:hAnsi="Times New Roman"/>
        </w:rPr>
        <w:t xml:space="preserve">Bilješka 23.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Premije osiguranja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9.850,53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12.114,82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123,0</w:t>
            </w:r>
          </w:p>
        </w:tc>
      </w:tr>
    </w:tbl>
    <w:p>
      <w:pPr>
        <w:spacing w:before="0" w:after="0"/>
      </w:pPr>
    </w:p>
    <w:p>
      <w:r>
        <w:t xml:space="preserve">Trošak za premije osiguranja u ovom izvještajnom razdoblju veći je od prošlogodišnjega zbog veće vrijednosti izložbi koje su osigurane u ovom razdoblju te zbog police kasko osiguranja za novi automobil.</w:t>
      </w:r>
    </w:p>
    <w:p/>
    <w:p>
      <w:pPr>
        <w:jc w:val="center"/>
        <w:pStyle w:val="Normal"/>
        <w:spacing w:line="240" w:lineRule="auto"/>
        <w:keepNext/>
      </w:pPr>
      <w:r>
        <w:rPr>
          <w:sz w:val="28"/>
          <w:rFonts w:ascii="Times New Roman" w:hAnsi="Times New Roman"/>
        </w:rPr>
        <w:t xml:space="preserve">Bilješka 24.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Reprezentacija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1.675,50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1.533,74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91,5</w:t>
            </w:r>
          </w:p>
        </w:tc>
      </w:tr>
    </w:tbl>
    <w:p>
      <w:pPr>
        <w:spacing w:before="0" w:after="0"/>
      </w:pPr>
    </w:p>
    <w:p>
      <w:r>
        <w:t xml:space="preserve">Troškovi reprezentacije prilikom otvaranja izložbi i održavanja ostalih muzejskih aktivnosti.</w:t>
      </w:r>
    </w:p>
    <w:p/>
    <w:p>
      <w:pPr>
        <w:jc w:val="center"/>
        <w:pStyle w:val="Normal"/>
        <w:spacing w:line="240" w:lineRule="auto"/>
        <w:keepNext/>
      </w:pPr>
      <w:r>
        <w:rPr>
          <w:sz w:val="28"/>
          <w:rFonts w:ascii="Times New Roman" w:hAnsi="Times New Roman"/>
        </w:rPr>
        <w:t xml:space="preserve">Bilješka 25.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nespomenuti rashodi poslovanja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4.069,13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6.612,49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162,5</w:t>
            </w:r>
          </w:p>
        </w:tc>
      </w:tr>
    </w:tbl>
    <w:p>
      <w:pPr>
        <w:spacing w:before="0" w:after="0"/>
      </w:pPr>
    </w:p>
    <w:p>
      <w:r>
        <w:t xml:space="preserve">Trošak je veći u odnosu na prošlu godinu jer je u ovom izvještajnom razdoblju, zbog održavanja koncerta, ostvaren rashod za troškove postavljanja bine i razglasa u iznosu od 1.750,00 eura.</w:t>
      </w:r>
    </w:p>
    <w:p/>
    <w:p>
      <w:pPr>
        <w:jc w:val="center"/>
        <w:pStyle w:val="Normal"/>
        <w:spacing w:line="240" w:lineRule="auto"/>
        <w:keepNext/>
      </w:pPr>
      <w:r>
        <w:rPr>
          <w:sz w:val="28"/>
          <w:rFonts w:ascii="Times New Roman" w:hAnsi="Times New Roman"/>
        </w:rPr>
        <w:t xml:space="preserve">Bilješka 26.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Financijski rashodi (šifre 341+342+343)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132,8</w:t>
            </w:r>
          </w:p>
        </w:tc>
      </w:tr>
    </w:tbl>
    <w:p>
      <w:pPr>
        <w:spacing w:before="0" w:after="0"/>
      </w:pPr>
    </w:p>
    <w:p>
      <w:r>
        <w:t xml:space="preserve">Trošak je veći zbog više izvršenih usluga FINA-e.</w:t>
      </w:r>
    </w:p>
    <w:p/>
    <w:p>
      <w:pPr>
        <w:jc w:val="center"/>
        <w:pStyle w:val="Normal"/>
        <w:spacing w:line="240" w:lineRule="auto"/>
        <w:keepNext/>
      </w:pPr>
      <w:r>
        <w:rPr>
          <w:sz w:val="28"/>
          <w:rFonts w:ascii="Times New Roman" w:hAnsi="Times New Roman"/>
        </w:rPr>
        <w:t xml:space="preserve">Bilješka 27.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9661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proizvoda i robe i pruženih usluga - nenaplaćeni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9661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3.828,74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4.756,24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124,2</w:t>
            </w:r>
          </w:p>
        </w:tc>
      </w:tr>
    </w:tbl>
    <w:p>
      <w:pPr>
        <w:spacing w:before="0" w:after="0"/>
      </w:pPr>
    </w:p>
    <w:p>
      <w:r>
        <w:t xml:space="preserve">Prihodi se odnose na usluge i prodaje suvenira ostvarene u prosincu 2025. godine, a koji su naplaćeni u siječnju 2026. godine.</w:t>
      </w:r>
    </w:p>
    <w:p/>
    <w:p>
      <w:pPr>
        <w:jc w:val="center"/>
        <w:pStyle w:val="Normal"/>
        <w:spacing w:line="240" w:lineRule="auto"/>
        <w:keepNext/>
      </w:pPr>
      <w:r>
        <w:rPr>
          <w:sz w:val="28"/>
          <w:rFonts w:ascii="Times New Roman" w:hAnsi="Times New Roman"/>
        </w:rPr>
        <w:t xml:space="preserve">Bilješka 28.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132,81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1.879,15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1414,9</w:t>
            </w:r>
          </w:p>
        </w:tc>
      </w:tr>
    </w:tbl>
    <w:p>
      <w:pPr>
        <w:spacing w:before="0" w:after="0"/>
      </w:pPr>
    </w:p>
    <w:p>
      <w:r>
        <w:t xml:space="preserve">Rashod je ostvaren za kupnju opreme za izradu nakita na edukativnim radionicama koje su financirane iz pomoći Virovitičko-podravske županije te za kupnju knjiga koje se pohranjuju u knjižnici Muzeja.</w:t>
      </w:r>
    </w:p>
    <w:p/>
    <w:p>
      <w:pPr>
        <w:jc w:val="center"/>
        <w:pStyle w:val="Normal"/>
        <w:spacing w:line="240" w:lineRule="auto"/>
        <w:keepNext/>
      </w:pPr>
      <w:r>
        <w:rPr>
          <w:sz w:val="28"/>
          <w:rFonts w:ascii="Times New Roman" w:hAnsi="Times New Roman"/>
        </w:rPr>
        <w:t xml:space="preserve">Bilješka 29.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UKUPNI PRIHODI (šifre 6+7)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X067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317.732,14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366.704,77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115,4</w:t>
            </w:r>
          </w:p>
        </w:tc>
      </w:tr>
    </w:tbl>
    <w:p>
      <w:pPr>
        <w:spacing w:before="0" w:after="0"/>
      </w:pPr>
    </w:p>
    <w:p>
      <w:r>
        <w:t xml:space="preserve">Ukupni prihod je veći od prošlogodišnjeg zbog povećanja plaća, povećanja pomoći Ministarstva kulture i medija te većih prihoda po posebnim propisima.</w:t>
      </w:r>
    </w:p>
    <w:p/>
    <w:p>
      <w:pPr>
        <w:jc w:val="center"/>
        <w:pStyle w:val="Normal"/>
        <w:spacing w:line="240" w:lineRule="auto"/>
        <w:keepNext/>
      </w:pPr>
      <w:r>
        <w:rPr>
          <w:sz w:val="28"/>
          <w:rFonts w:ascii="Times New Roman" w:hAnsi="Times New Roman"/>
        </w:rPr>
        <w:t xml:space="preserve">Bilješka 30.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UKUPNI RASHODI (šifre Z005+4)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Y034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295.779,80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314.156,34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106,2</w:t>
            </w:r>
          </w:p>
        </w:tc>
      </w:tr>
    </w:tbl>
    <w:p>
      <w:pPr>
        <w:spacing w:before="0" w:after="0"/>
      </w:pPr>
    </w:p>
    <w:p>
      <w:r>
        <w:t xml:space="preserve">Rashodi su veći u odnosu na prošlu godinu zbog povećanja plaća (povećanje osnovice), materijalnih rashoda za zaposlene, povećanja cijena usluga i materijala potrebnih za poslovanje Muzeja.</w:t>
      </w:r>
    </w:p>
    <w:p/>
    <w:p>
      <w:pPr>
        <w:jc w:val="center"/>
        <w:pStyle w:val="Normal"/>
        <w:spacing w:line="240" w:lineRule="auto"/>
        <w:keepNext/>
      </w:pPr>
      <w:r>
        <w:rPr>
          <w:sz w:val="28"/>
          <w:rFonts w:ascii="Times New Roman" w:hAnsi="Times New Roman"/>
        </w:rPr>
        <w:t xml:space="preserve">Bilješka 31.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UKUPAN VIŠAK PRIHODA (šifre X067-Y034)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X004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21.952,34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52.548,43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239,4</w:t>
            </w:r>
          </w:p>
        </w:tc>
      </w:tr>
    </w:tbl>
    <w:p>
      <w:pPr>
        <w:spacing w:before="0" w:after="0"/>
      </w:pPr>
    </w:p>
    <w:p>
      <w:r>
        <w:t xml:space="preserve">Metodološki višak koji će biti utrošen do kraja godine.</w:t>
      </w:r>
    </w:p>
    <w:p/>
    <w:p>
      <w:pPr>
        <w:jc w:val="center"/>
        <w:pStyle w:val="Normal"/>
        <w:spacing w:line="240" w:lineRule="auto"/>
        <w:keepNext/>
      </w:pPr>
      <w:r>
        <w:rPr>
          <w:sz w:val="28"/>
          <w:rFonts w:ascii="Times New Roman" w:hAnsi="Times New Roman"/>
        </w:rPr>
        <w:t xml:space="preserve">Bilješka 32.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9221x, 9222x</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Manjak prihoda - preneseni (šifre 92221+92222-92211-92212)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9221x,9222x MP</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29.157,33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55.917,25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191,8</w:t>
            </w:r>
          </w:p>
        </w:tc>
      </w:tr>
    </w:tbl>
    <w:p>
      <w:pPr>
        <w:spacing w:before="0" w:after="0"/>
      </w:pPr>
    </w:p>
    <w:p>
      <w:r>
        <w:t xml:space="preserve">Metodološki manjak iz 2025. godine, koji je podmiren u siječnju 2026. godine, a odnosi se na plaće i ostale dospjele obveze iz prosinca 2025. godine.</w:t>
      </w:r>
    </w:p>
    <w:p/>
    <w:p>
      <w:pPr>
        <w:jc w:val="center"/>
        <w:pStyle w:val="Normal"/>
        <w:spacing w:line="240" w:lineRule="auto"/>
        <w:keepNext/>
      </w:pPr>
      <w:r>
        <w:rPr>
          <w:sz w:val="28"/>
          <w:rFonts w:ascii="Times New Roman" w:hAnsi="Times New Roman"/>
        </w:rPr>
        <w:t xml:space="preserve">Bilješka 33.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UKUPNI PRIHODI I PRIMICI (šifre X067+8)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X678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317.732,14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366.704,77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115,4</w:t>
            </w:r>
          </w:p>
        </w:tc>
      </w:tr>
    </w:tbl>
    <w:p>
      <w:pPr>
        <w:spacing w:before="0" w:after="0"/>
      </w:pPr>
    </w:p>
    <w:p>
      <w:r>
        <w:t xml:space="preserve">Ukupni prihodi i primici veći su nego prošle godine zbog povećanja plaća i materijalnih rashoda, većih prihoda od Ministarstva kulture i medija te većih prihoda po posebnim propisima (muzejske usluge, ulaznice).</w:t>
      </w:r>
    </w:p>
    <w:p/>
    <w:p>
      <w:pPr>
        <w:jc w:val="center"/>
        <w:pStyle w:val="Normal"/>
        <w:spacing w:line="240" w:lineRule="auto"/>
        <w:keepNext/>
      </w:pPr>
      <w:r>
        <w:rPr>
          <w:sz w:val="28"/>
          <w:rFonts w:ascii="Times New Roman" w:hAnsi="Times New Roman"/>
        </w:rPr>
        <w:t xml:space="preserve">Bilješka 34.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UKUPNI RASHODI I IZDACI (šifre Y034+5)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Y345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295.779,80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314.156,34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106,2</w:t>
            </w:r>
          </w:p>
        </w:tc>
      </w:tr>
    </w:tbl>
    <w:p>
      <w:pPr>
        <w:spacing w:before="0" w:after="0"/>
      </w:pPr>
    </w:p>
    <w:p>
      <w:r>
        <w:t xml:space="preserve">Rashodi su veći u odnosu na prošlu godinu zbog povećanja plaća (povećanje osnovice), materijalnih rashoda za zaposlene, povećanja cijena usluga i materijala potrebnih za poslovanje Muzeja.</w:t>
      </w:r>
    </w:p>
    <w:p/>
    <w:p>
      <w:pPr>
        <w:jc w:val="center"/>
        <w:pStyle w:val="Normal"/>
        <w:spacing w:line="240" w:lineRule="auto"/>
        <w:keepNext/>
      </w:pPr>
      <w:r>
        <w:rPr>
          <w:sz w:val="28"/>
          <w:rFonts w:ascii="Times New Roman" w:hAnsi="Times New Roman"/>
        </w:rPr>
        <w:t xml:space="preserve">Bilješka 35.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VIŠAK PRIHODA I PRIMITAKA (šifre X678-Y345)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X005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21.952,34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52.548,43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239,4</w:t>
            </w:r>
          </w:p>
        </w:tc>
      </w:tr>
    </w:tbl>
    <w:p>
      <w:pPr>
        <w:spacing w:before="0" w:after="0"/>
      </w:pPr>
    </w:p>
    <w:p>
      <w:r>
        <w:t xml:space="preserve">Metodološki višak koji će biti utrošen do kraja godine.</w:t>
      </w:r>
    </w:p>
    <w:p/>
    <w:p>
      <w:pPr>
        <w:jc w:val="center"/>
        <w:pStyle w:val="Normal"/>
        <w:spacing w:line="240" w:lineRule="auto"/>
        <w:keepNext/>
      </w:pPr>
      <w:r>
        <w:rPr>
          <w:sz w:val="28"/>
          <w:rFonts w:ascii="Times New Roman" w:hAnsi="Times New Roman"/>
        </w:rPr>
        <w:t xml:space="preserve">Bilješka 36.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9222-9221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Manjak prihoda i primitaka - preneseni (šifre '9221x,9222x MP' - '9221x,9222x VP' + 92223 - 92213)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9222-9221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29.157,33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55.917,25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191,8</w:t>
            </w:r>
          </w:p>
        </w:tc>
      </w:tr>
    </w:tbl>
    <w:p>
      <w:pPr>
        <w:spacing w:before="0" w:after="0"/>
      </w:pPr>
    </w:p>
    <w:p>
      <w:r>
        <w:t xml:space="preserve">Metodološki manjak iz 2025. godine, koji je podmiren u siječnju 2026. godine, a odnosi se na plaće i ostale dospjele obveze iz prosinca 2025. godine.</w:t>
      </w:r>
    </w:p>
    <w:p/>
    <w:p>
      <w:pPr>
        <w:jc w:val="center"/>
        <w:pStyle w:val="Normal"/>
        <w:spacing w:line="240" w:lineRule="auto"/>
        <w:keepNext/>
      </w:pPr>
      <w:r>
        <w:rPr>
          <w:sz w:val="28"/>
          <w:rFonts w:ascii="Times New Roman" w:hAnsi="Times New Roman"/>
        </w:rPr>
        <w:t xml:space="preserve">Bilješka 37.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Manjak prihoda i primitaka za pokriće u sljedećem razdoblju (šifre Y005 + '9222-9221' - X005 - '9221-9222'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Y006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7.204,99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3.368,82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46,8</w:t>
            </w:r>
          </w:p>
        </w:tc>
      </w:tr>
    </w:tbl>
    <w:p>
      <w:pPr>
        <w:spacing w:before="0" w:after="0"/>
      </w:pPr>
    </w:p>
    <w:p>
      <w:r>
        <w:t xml:space="preserve">Metodološki manjak koji će biti  podmiren u srpnju 2026. godine.</w:t>
      </w:r>
    </w:p>
    <w:p/>
    <w:p>
      <w:pPr>
        <w:jc w:val="center"/>
        <w:pStyle w:val="Normal"/>
        <w:spacing w:line="240" w:lineRule="auto"/>
        <w:keepNext/>
      </w:pPr>
      <w:r>
        <w:rPr>
          <w:sz w:val="28"/>
          <w:rFonts w:ascii="Times New Roman" w:hAnsi="Times New Roman"/>
        </w:rPr>
        <w:t xml:space="preserve">Bilješka 38.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63612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Tekuće pomoći iz državnog proračuna proračunskim korisnicima proračuna JLP(R)S</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63612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15.200,00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16.000,00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105,3</w:t>
            </w:r>
          </w:p>
        </w:tc>
      </w:tr>
    </w:tbl>
    <w:p>
      <w:pPr>
        <w:spacing w:before="0" w:after="0"/>
      </w:pPr>
    </w:p>
    <w:p>
      <w:r>
        <w:t xml:space="preserve">Ove je godine Gradski muzej Virovitica za svoje projekte ostvario veći iznos pomoći od Ministarstva kulture i medija.</w:t>
      </w:r>
    </w:p>
    <w:p/>
    <w:p>
      <w:pPr>
        <w:jc w:val="center"/>
        <w:pStyle w:val="Normal"/>
        <w:spacing w:line="240" w:lineRule="auto"/>
        <w:keepNext/>
      </w:pPr>
      <w:r>
        <w:rPr>
          <w:sz w:val="28"/>
          <w:rFonts w:ascii="Times New Roman" w:hAnsi="Times New Roman"/>
        </w:rPr>
        <w:t xml:space="preserve">Bilješka 39.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65264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Sufinanciranje cijene usluge, participacije i slično</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65264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10.314,05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13.165,33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127,6</w:t>
            </w:r>
          </w:p>
        </w:tc>
      </w:tr>
    </w:tbl>
    <w:p>
      <w:pPr>
        <w:spacing w:before="0" w:after="0"/>
      </w:pPr>
    </w:p>
    <w:p>
      <w:r>
        <w:t xml:space="preserve">Ostvaren je veći prihod od ulaznica, stručnog vodstva te usluga arheološkog nadzora.</w:t>
      </w:r>
    </w:p>
    <w:p/>
    <w:p>
      <w:pPr>
        <w:jc w:val="center"/>
        <w:pStyle w:val="Normal"/>
        <w:spacing w:line="240" w:lineRule="auto"/>
        <w:keepNext/>
      </w:pPr>
      <w:r>
        <w:rPr>
          <w:sz w:val="28"/>
          <w:rFonts w:ascii="Times New Roman" w:hAnsi="Times New Roman"/>
        </w:rPr>
        <w:t xml:space="preserve">Bilješka 40.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Autorski honorari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3.661,64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U ovom izvještajnom razdoblju nije bilo potrebe za sklapanjem autortskih ugovora.</w:t>
      </w:r>
    </w:p>
    <w:p/>
    <w:p>
      <w:pPr>
        <w:jc w:val="center"/>
        <w:pStyle w:val="Normal"/>
        <w:spacing w:line="240" w:lineRule="auto"/>
        <w:keepNext/>
      </w:pPr>
      <w:r>
        <w:rPr>
          <w:sz w:val="28"/>
          <w:rFonts w:ascii="Times New Roman" w:hAnsi="Times New Roman"/>
        </w:rPr>
        <w:t xml:space="preserve">Bilješka 41.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Ugovori o djelu</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32372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2.623,51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U ovom izvještajnom razdoblju nije bilo potrebe za sklapanjem autorskih ugovora.</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42.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Sve dospjele obveze u ovom izvještajnom razdoblju su podmirene.</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d399df58ef9f41c0" /></Relationships>
</file>